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0EA" w:rsidRPr="009752C3" w:rsidRDefault="00DA00EA" w:rsidP="00DA00EA">
      <w:pPr>
        <w:pStyle w:val="Normalnumber"/>
        <w:keepLines/>
        <w:ind w:left="1276"/>
        <w:rPr>
          <w:rFonts w:ascii="Times New Roman" w:hAnsi="Times New Roman" w:cs="Times New Roman"/>
          <w:b/>
          <w:sz w:val="28"/>
          <w:szCs w:val="28"/>
          <w:lang w:val="en-GB"/>
        </w:rPr>
      </w:pPr>
      <w:r w:rsidRPr="009752C3">
        <w:rPr>
          <w:rFonts w:ascii="Times New Roman" w:hAnsi="Times New Roman" w:cs="Times New Roman"/>
          <w:b/>
          <w:sz w:val="28"/>
          <w:szCs w:val="28"/>
          <w:lang w:val="en-GB"/>
        </w:rPr>
        <w:t xml:space="preserve">SC-8/10: Listing of </w:t>
      </w:r>
      <w:proofErr w:type="spellStart"/>
      <w:r w:rsidRPr="009752C3">
        <w:rPr>
          <w:rFonts w:ascii="Times New Roman" w:hAnsi="Times New Roman" w:cs="Times New Roman"/>
          <w:b/>
          <w:sz w:val="28"/>
          <w:szCs w:val="28"/>
          <w:lang w:val="en-GB"/>
        </w:rPr>
        <w:t>decabromodiphenyl</w:t>
      </w:r>
      <w:proofErr w:type="spellEnd"/>
      <w:r w:rsidRPr="009752C3">
        <w:rPr>
          <w:rFonts w:ascii="Times New Roman" w:hAnsi="Times New Roman" w:cs="Times New Roman"/>
          <w:b/>
          <w:sz w:val="28"/>
          <w:szCs w:val="28"/>
          <w:lang w:val="en-GB"/>
        </w:rPr>
        <w:t xml:space="preserve"> ether </w:t>
      </w:r>
    </w:p>
    <w:p w:rsidR="00DA00EA" w:rsidRPr="00D431C1" w:rsidRDefault="00DA00EA" w:rsidP="00DA00EA">
      <w:pPr>
        <w:tabs>
          <w:tab w:val="left" w:pos="624"/>
        </w:tabs>
        <w:autoSpaceDE w:val="0"/>
        <w:autoSpaceDN w:val="0"/>
        <w:adjustRightInd w:val="0"/>
        <w:spacing w:after="120"/>
        <w:ind w:left="1276" w:firstLine="567"/>
        <w:rPr>
          <w:i/>
          <w:iCs/>
          <w:sz w:val="20"/>
        </w:rPr>
      </w:pPr>
      <w:r w:rsidRPr="00D431C1">
        <w:rPr>
          <w:i/>
          <w:iCs/>
          <w:sz w:val="20"/>
        </w:rPr>
        <w:t xml:space="preserve">The </w:t>
      </w:r>
      <w:r w:rsidRPr="00D431C1">
        <w:rPr>
          <w:i/>
          <w:sz w:val="20"/>
        </w:rPr>
        <w:t>Conference</w:t>
      </w:r>
      <w:r w:rsidRPr="00D431C1">
        <w:rPr>
          <w:i/>
          <w:iCs/>
          <w:sz w:val="20"/>
        </w:rPr>
        <w:t xml:space="preserve"> of the Parties,</w:t>
      </w:r>
    </w:p>
    <w:p w:rsidR="00DA00EA" w:rsidRPr="00D431C1" w:rsidRDefault="00DA00EA" w:rsidP="00DA00EA">
      <w:pPr>
        <w:pStyle w:val="Normal-pool"/>
        <w:tabs>
          <w:tab w:val="clear" w:pos="1247"/>
          <w:tab w:val="clear" w:pos="1814"/>
          <w:tab w:val="clear" w:pos="2381"/>
          <w:tab w:val="clear" w:pos="2948"/>
          <w:tab w:val="clear" w:pos="3515"/>
          <w:tab w:val="left" w:pos="624"/>
        </w:tabs>
        <w:spacing w:after="120"/>
        <w:ind w:left="1247" w:firstLine="624"/>
      </w:pPr>
      <w:r w:rsidRPr="00D431C1">
        <w:rPr>
          <w:i/>
        </w:rPr>
        <w:t>Having considered</w:t>
      </w:r>
      <w:r w:rsidRPr="00D431C1">
        <w:t xml:space="preserve"> the risk profile, </w:t>
      </w:r>
      <w:r w:rsidRPr="003C25F4">
        <w:t>the risk management</w:t>
      </w:r>
      <w:r w:rsidRPr="00D431C1">
        <w:t xml:space="preserve"> evaluation and the addendum to the risk management evaluation for </w:t>
      </w:r>
      <w:proofErr w:type="spellStart"/>
      <w:r w:rsidRPr="00D431C1">
        <w:t>decabromodiphenyl</w:t>
      </w:r>
      <w:proofErr w:type="spellEnd"/>
      <w:r w:rsidRPr="00D431C1">
        <w:t xml:space="preserve"> ether (commercial mixture, c</w:t>
      </w:r>
      <w:r w:rsidRPr="00D431C1">
        <w:noBreakHyphen/>
      </w:r>
      <w:proofErr w:type="spellStart"/>
      <w:r w:rsidRPr="00D431C1">
        <w:t>decaBDE</w:t>
      </w:r>
      <w:proofErr w:type="spellEnd"/>
      <w:r w:rsidRPr="00D431C1">
        <w:t>) as transmitted by the Persistent Organic Pollutants Review Committee,</w:t>
      </w:r>
      <w:r w:rsidRPr="00D431C1">
        <w:rPr>
          <w:rStyle w:val="FootnoteReference"/>
        </w:rPr>
        <w:footnoteReference w:id="1"/>
      </w:r>
    </w:p>
    <w:p w:rsidR="00DA00EA" w:rsidRPr="00D431C1" w:rsidRDefault="00DA00EA" w:rsidP="00DA00EA">
      <w:pPr>
        <w:pStyle w:val="Normal-pool"/>
        <w:tabs>
          <w:tab w:val="clear" w:pos="1247"/>
          <w:tab w:val="clear" w:pos="1814"/>
          <w:tab w:val="clear" w:pos="2381"/>
          <w:tab w:val="clear" w:pos="2948"/>
          <w:tab w:val="clear" w:pos="3515"/>
          <w:tab w:val="left" w:pos="624"/>
        </w:tabs>
        <w:spacing w:after="120"/>
        <w:ind w:left="1247" w:firstLine="624"/>
        <w:rPr>
          <w:b/>
        </w:rPr>
      </w:pPr>
      <w:r w:rsidRPr="00D431C1">
        <w:rPr>
          <w:i/>
        </w:rPr>
        <w:t>Taking note</w:t>
      </w:r>
      <w:r w:rsidRPr="00D431C1">
        <w:t xml:space="preserve"> of the recommendation by the Persistent Organic Pollutants Review Committee that </w:t>
      </w:r>
      <w:proofErr w:type="spellStart"/>
      <w:r w:rsidRPr="00D431C1">
        <w:t>decabromodiphenyl</w:t>
      </w:r>
      <w:proofErr w:type="spellEnd"/>
      <w:r w:rsidRPr="00D431C1">
        <w:t xml:space="preserve"> ether (BDE-209) of c-</w:t>
      </w:r>
      <w:proofErr w:type="spellStart"/>
      <w:r w:rsidRPr="00D431C1">
        <w:t>decaBDE</w:t>
      </w:r>
      <w:proofErr w:type="spellEnd"/>
      <w:r w:rsidRPr="00D431C1">
        <w:t xml:space="preserve"> be listed in Annex A to the Convention with specific exemptions,</w:t>
      </w:r>
      <w:r w:rsidRPr="00D431C1">
        <w:rPr>
          <w:rStyle w:val="FootnoteReference"/>
        </w:rPr>
        <w:footnoteReference w:id="2"/>
      </w:r>
      <w:r w:rsidRPr="00D431C1">
        <w:t xml:space="preserve"> </w:t>
      </w:r>
    </w:p>
    <w:p w:rsidR="00DA00EA" w:rsidRPr="00D431C1" w:rsidRDefault="00DA00EA" w:rsidP="00DA00EA">
      <w:pPr>
        <w:pStyle w:val="Normal-pool"/>
        <w:keepNext/>
        <w:keepLines/>
        <w:numPr>
          <w:ilvl w:val="0"/>
          <w:numId w:val="1"/>
        </w:numPr>
        <w:tabs>
          <w:tab w:val="clear" w:pos="1247"/>
          <w:tab w:val="clear" w:pos="1814"/>
          <w:tab w:val="clear" w:pos="2381"/>
          <w:tab w:val="clear" w:pos="2948"/>
          <w:tab w:val="clear" w:pos="3515"/>
          <w:tab w:val="clear" w:pos="4082"/>
          <w:tab w:val="left" w:pos="2410"/>
        </w:tabs>
        <w:spacing w:after="120"/>
        <w:ind w:left="1247" w:firstLine="624"/>
      </w:pPr>
      <w:r w:rsidRPr="00D431C1">
        <w:rPr>
          <w:i/>
        </w:rPr>
        <w:t>Decides</w:t>
      </w:r>
      <w:r w:rsidRPr="00D431C1">
        <w:t xml:space="preserve"> to amend part I of Annex A to the Stockholm Convention on Persistent Organic Pollutants to list </w:t>
      </w:r>
      <w:proofErr w:type="spellStart"/>
      <w:r w:rsidRPr="00D431C1">
        <w:t>decabromodiphenyl</w:t>
      </w:r>
      <w:proofErr w:type="spellEnd"/>
      <w:r w:rsidRPr="00D431C1">
        <w:t xml:space="preserve"> ether (BDE-209) present in </w:t>
      </w:r>
      <w:r w:rsidRPr="00D431C1">
        <w:rPr>
          <w:szCs w:val="24"/>
        </w:rPr>
        <w:t xml:space="preserve">commercial </w:t>
      </w:r>
      <w:proofErr w:type="spellStart"/>
      <w:r w:rsidRPr="00D431C1">
        <w:rPr>
          <w:szCs w:val="24"/>
        </w:rPr>
        <w:t>decabromodiphenyl</w:t>
      </w:r>
      <w:proofErr w:type="spellEnd"/>
      <w:r w:rsidRPr="00D431C1">
        <w:rPr>
          <w:szCs w:val="24"/>
        </w:rPr>
        <w:t xml:space="preserve"> ether</w:t>
      </w:r>
      <w:r w:rsidRPr="00D431C1">
        <w:t xml:space="preserve"> therein, with specific exemptions for the production and use of </w:t>
      </w:r>
      <w:r w:rsidRPr="00D431C1">
        <w:rPr>
          <w:szCs w:val="24"/>
        </w:rPr>
        <w:t xml:space="preserve">commercial </w:t>
      </w:r>
      <w:proofErr w:type="spellStart"/>
      <w:r w:rsidRPr="00D431C1">
        <w:rPr>
          <w:szCs w:val="24"/>
        </w:rPr>
        <w:t>decabromodiphenyl</w:t>
      </w:r>
      <w:proofErr w:type="spellEnd"/>
      <w:r w:rsidRPr="00D431C1">
        <w:rPr>
          <w:szCs w:val="24"/>
        </w:rPr>
        <w:t xml:space="preserve"> ether,</w:t>
      </w:r>
      <w:r w:rsidRPr="00D431C1">
        <w:t xml:space="preserve"> by inserting the following row:</w:t>
      </w:r>
    </w:p>
    <w:tbl>
      <w:tblPr>
        <w:tblW w:w="0" w:type="auto"/>
        <w:tblInd w:w="1384" w:type="dxa"/>
        <w:tblLook w:val="0000"/>
      </w:tblPr>
      <w:tblGrid>
        <w:gridCol w:w="2442"/>
        <w:gridCol w:w="1006"/>
        <w:gridCol w:w="4744"/>
      </w:tblGrid>
      <w:tr w:rsidR="00DA00EA" w:rsidRPr="00D431C1" w:rsidTr="00A20B83">
        <w:trPr>
          <w:trHeight w:val="369"/>
          <w:tblHeader/>
        </w:trPr>
        <w:tc>
          <w:tcPr>
            <w:tcW w:w="0" w:type="auto"/>
            <w:tcBorders>
              <w:top w:val="single" w:sz="4" w:space="0" w:color="auto"/>
              <w:bottom w:val="single" w:sz="12" w:space="0" w:color="auto"/>
            </w:tcBorders>
            <w:shd w:val="clear" w:color="auto" w:fill="FFFFFF"/>
          </w:tcPr>
          <w:p w:rsidR="00DA00EA" w:rsidRPr="00A571B4" w:rsidRDefault="00DA00EA" w:rsidP="00A20B83">
            <w:pPr>
              <w:keepNext/>
              <w:spacing w:line="240" w:lineRule="exact"/>
              <w:rPr>
                <w:b/>
                <w:sz w:val="18"/>
                <w:szCs w:val="18"/>
              </w:rPr>
            </w:pPr>
            <w:r w:rsidRPr="00A571B4">
              <w:rPr>
                <w:b/>
                <w:sz w:val="18"/>
                <w:szCs w:val="18"/>
              </w:rPr>
              <w:t xml:space="preserve">Chemical </w:t>
            </w:r>
          </w:p>
        </w:tc>
        <w:tc>
          <w:tcPr>
            <w:tcW w:w="0" w:type="auto"/>
            <w:tcBorders>
              <w:top w:val="single" w:sz="4" w:space="0" w:color="auto"/>
              <w:bottom w:val="single" w:sz="12" w:space="0" w:color="auto"/>
            </w:tcBorders>
            <w:shd w:val="clear" w:color="auto" w:fill="FFFFFF"/>
          </w:tcPr>
          <w:p w:rsidR="00DA00EA" w:rsidRPr="00A571B4" w:rsidRDefault="00DA00EA" w:rsidP="00A20B83">
            <w:pPr>
              <w:keepNext/>
              <w:spacing w:line="240" w:lineRule="exact"/>
              <w:rPr>
                <w:b/>
                <w:sz w:val="18"/>
                <w:szCs w:val="18"/>
              </w:rPr>
            </w:pPr>
            <w:r w:rsidRPr="00A571B4">
              <w:rPr>
                <w:b/>
                <w:sz w:val="18"/>
                <w:szCs w:val="18"/>
              </w:rPr>
              <w:t>Activity</w:t>
            </w:r>
          </w:p>
        </w:tc>
        <w:tc>
          <w:tcPr>
            <w:tcW w:w="0" w:type="auto"/>
            <w:tcBorders>
              <w:top w:val="single" w:sz="4" w:space="0" w:color="auto"/>
              <w:bottom w:val="single" w:sz="12" w:space="0" w:color="auto"/>
            </w:tcBorders>
            <w:shd w:val="clear" w:color="auto" w:fill="FFFFFF"/>
          </w:tcPr>
          <w:p w:rsidR="00DA00EA" w:rsidRPr="00A571B4" w:rsidRDefault="00DA00EA" w:rsidP="00A20B83">
            <w:pPr>
              <w:keepNext/>
              <w:spacing w:line="240" w:lineRule="exact"/>
              <w:rPr>
                <w:b/>
                <w:sz w:val="18"/>
                <w:szCs w:val="18"/>
              </w:rPr>
            </w:pPr>
            <w:r w:rsidRPr="00A571B4">
              <w:rPr>
                <w:b/>
                <w:sz w:val="18"/>
                <w:szCs w:val="18"/>
              </w:rPr>
              <w:t>Specific exemption</w:t>
            </w:r>
          </w:p>
        </w:tc>
      </w:tr>
      <w:tr w:rsidR="00DA00EA" w:rsidRPr="00D431C1" w:rsidTr="00A20B83">
        <w:tc>
          <w:tcPr>
            <w:tcW w:w="0" w:type="auto"/>
            <w:vMerge w:val="restart"/>
            <w:tcBorders>
              <w:top w:val="single" w:sz="12" w:space="0" w:color="auto"/>
            </w:tcBorders>
            <w:shd w:val="clear" w:color="auto" w:fill="auto"/>
          </w:tcPr>
          <w:p w:rsidR="00DA00EA" w:rsidRPr="00D431C1" w:rsidRDefault="00DA00EA" w:rsidP="00A20B83">
            <w:pPr>
              <w:suppressAutoHyphens/>
              <w:spacing w:after="120" w:line="240" w:lineRule="exact"/>
              <w:rPr>
                <w:sz w:val="18"/>
                <w:szCs w:val="18"/>
              </w:rPr>
            </w:pPr>
            <w:proofErr w:type="spellStart"/>
            <w:r w:rsidRPr="00D431C1">
              <w:rPr>
                <w:sz w:val="18"/>
                <w:szCs w:val="18"/>
              </w:rPr>
              <w:t>Decabromodiphenyl</w:t>
            </w:r>
            <w:proofErr w:type="spellEnd"/>
            <w:r w:rsidRPr="00D431C1">
              <w:rPr>
                <w:sz w:val="18"/>
                <w:szCs w:val="18"/>
              </w:rPr>
              <w:t xml:space="preserve"> ether </w:t>
            </w:r>
            <w:r w:rsidRPr="00D431C1">
              <w:rPr>
                <w:sz w:val="18"/>
                <w:szCs w:val="18"/>
              </w:rPr>
              <w:br/>
              <w:t xml:space="preserve">(BDE-209) present in commercial </w:t>
            </w:r>
            <w:proofErr w:type="spellStart"/>
            <w:r w:rsidRPr="00D431C1">
              <w:rPr>
                <w:sz w:val="18"/>
                <w:szCs w:val="18"/>
              </w:rPr>
              <w:t>decabromodiphenyl</w:t>
            </w:r>
            <w:proofErr w:type="spellEnd"/>
            <w:r w:rsidRPr="00D431C1">
              <w:rPr>
                <w:sz w:val="18"/>
                <w:szCs w:val="18"/>
              </w:rPr>
              <w:t xml:space="preserve"> ether (CAS No: 1163-19-5)</w:t>
            </w:r>
          </w:p>
        </w:tc>
        <w:tc>
          <w:tcPr>
            <w:tcW w:w="0" w:type="auto"/>
            <w:tcBorders>
              <w:top w:val="single" w:sz="12" w:space="0" w:color="auto"/>
              <w:bottom w:val="single" w:sz="4" w:space="0" w:color="auto"/>
            </w:tcBorders>
            <w:shd w:val="clear" w:color="auto" w:fill="FFFFFF"/>
          </w:tcPr>
          <w:p w:rsidR="00DA00EA" w:rsidRPr="00D431C1" w:rsidRDefault="00DA00EA" w:rsidP="00A20B83">
            <w:pPr>
              <w:suppressAutoHyphens/>
              <w:spacing w:after="100"/>
              <w:rPr>
                <w:sz w:val="18"/>
                <w:szCs w:val="18"/>
              </w:rPr>
            </w:pPr>
            <w:r w:rsidRPr="00D431C1">
              <w:rPr>
                <w:sz w:val="18"/>
                <w:szCs w:val="18"/>
              </w:rPr>
              <w:t xml:space="preserve">Production </w:t>
            </w:r>
          </w:p>
        </w:tc>
        <w:tc>
          <w:tcPr>
            <w:tcW w:w="0" w:type="auto"/>
            <w:tcBorders>
              <w:top w:val="single" w:sz="12" w:space="0" w:color="auto"/>
              <w:bottom w:val="single" w:sz="4" w:space="0" w:color="auto"/>
            </w:tcBorders>
            <w:shd w:val="clear" w:color="auto" w:fill="FFFFFF"/>
          </w:tcPr>
          <w:p w:rsidR="00DA00EA" w:rsidRPr="00D431C1" w:rsidRDefault="00DA00EA" w:rsidP="00A20B83">
            <w:pPr>
              <w:suppressAutoHyphens/>
              <w:spacing w:after="100"/>
              <w:rPr>
                <w:sz w:val="18"/>
                <w:szCs w:val="18"/>
              </w:rPr>
            </w:pPr>
            <w:r w:rsidRPr="00D431C1">
              <w:rPr>
                <w:sz w:val="18"/>
                <w:szCs w:val="18"/>
              </w:rPr>
              <w:t>As allowed for the Parties listed in the Register</w:t>
            </w:r>
          </w:p>
        </w:tc>
      </w:tr>
      <w:tr w:rsidR="00DA00EA" w:rsidRPr="00D431C1" w:rsidTr="00A20B83">
        <w:trPr>
          <w:trHeight w:val="62"/>
        </w:trPr>
        <w:tc>
          <w:tcPr>
            <w:tcW w:w="0" w:type="auto"/>
            <w:vMerge/>
            <w:tcBorders>
              <w:bottom w:val="single" w:sz="12" w:space="0" w:color="auto"/>
            </w:tcBorders>
            <w:shd w:val="clear" w:color="auto" w:fill="auto"/>
            <w:vAlign w:val="center"/>
          </w:tcPr>
          <w:p w:rsidR="00DA00EA" w:rsidRPr="00D431C1" w:rsidRDefault="00DA00EA" w:rsidP="00A20B83">
            <w:pPr>
              <w:spacing w:line="240" w:lineRule="exact"/>
              <w:rPr>
                <w:b/>
                <w:sz w:val="18"/>
                <w:szCs w:val="18"/>
              </w:rPr>
            </w:pPr>
          </w:p>
        </w:tc>
        <w:tc>
          <w:tcPr>
            <w:tcW w:w="0" w:type="auto"/>
            <w:tcBorders>
              <w:top w:val="single" w:sz="4" w:space="0" w:color="auto"/>
              <w:bottom w:val="single" w:sz="12" w:space="0" w:color="auto"/>
            </w:tcBorders>
            <w:shd w:val="clear" w:color="auto" w:fill="auto"/>
          </w:tcPr>
          <w:p w:rsidR="00DA00EA" w:rsidRPr="00D431C1" w:rsidRDefault="00DA00EA" w:rsidP="00A20B83">
            <w:pPr>
              <w:suppressAutoHyphens/>
              <w:spacing w:after="120" w:line="240" w:lineRule="exact"/>
              <w:rPr>
                <w:sz w:val="18"/>
                <w:szCs w:val="18"/>
              </w:rPr>
            </w:pPr>
            <w:r w:rsidRPr="00D431C1">
              <w:rPr>
                <w:sz w:val="18"/>
                <w:szCs w:val="18"/>
              </w:rPr>
              <w:t>Use</w:t>
            </w:r>
          </w:p>
        </w:tc>
        <w:tc>
          <w:tcPr>
            <w:tcW w:w="0" w:type="auto"/>
            <w:tcBorders>
              <w:top w:val="single" w:sz="4" w:space="0" w:color="auto"/>
              <w:bottom w:val="single" w:sz="12" w:space="0" w:color="auto"/>
            </w:tcBorders>
            <w:shd w:val="clear" w:color="auto" w:fill="auto"/>
          </w:tcPr>
          <w:p w:rsidR="00DA00EA" w:rsidRPr="00D431C1" w:rsidRDefault="00DA00EA" w:rsidP="00A20B83">
            <w:pPr>
              <w:suppressAutoHyphens/>
              <w:spacing w:before="40" w:after="120" w:line="240" w:lineRule="exact"/>
              <w:rPr>
                <w:sz w:val="18"/>
                <w:szCs w:val="18"/>
              </w:rPr>
            </w:pPr>
            <w:r w:rsidRPr="00D431C1">
              <w:rPr>
                <w:sz w:val="18"/>
                <w:szCs w:val="18"/>
              </w:rPr>
              <w:t>In accordance with Part IX of this Annex:</w:t>
            </w:r>
          </w:p>
          <w:p w:rsidR="00DA00EA" w:rsidRPr="00D431C1" w:rsidRDefault="00DA00EA" w:rsidP="00DA00EA">
            <w:pPr>
              <w:pStyle w:val="ListParagraph"/>
              <w:numPr>
                <w:ilvl w:val="0"/>
                <w:numId w:val="4"/>
              </w:numPr>
              <w:suppressAutoHyphens/>
              <w:snapToGrid w:val="0"/>
              <w:spacing w:after="100" w:line="240" w:lineRule="auto"/>
              <w:ind w:left="357" w:hanging="357"/>
              <w:contextualSpacing w:val="0"/>
              <w:rPr>
                <w:rFonts w:ascii="Times New Roman" w:hAnsi="Times New Roman"/>
                <w:sz w:val="18"/>
                <w:szCs w:val="18"/>
                <w:lang w:val="en-GB"/>
              </w:rPr>
            </w:pPr>
            <w:r w:rsidRPr="00D431C1">
              <w:rPr>
                <w:rFonts w:ascii="Times New Roman" w:hAnsi="Times New Roman"/>
                <w:sz w:val="18"/>
                <w:szCs w:val="18"/>
                <w:lang w:val="en-GB"/>
              </w:rPr>
              <w:t>Parts for use in vehicles specified in paragraph 2 of Part IX of this Annex</w:t>
            </w:r>
          </w:p>
          <w:p w:rsidR="00DA00EA" w:rsidRPr="00D431C1" w:rsidRDefault="00DA00EA" w:rsidP="00DA00EA">
            <w:pPr>
              <w:pStyle w:val="ListParagraph"/>
              <w:numPr>
                <w:ilvl w:val="0"/>
                <w:numId w:val="4"/>
              </w:numPr>
              <w:suppressAutoHyphens/>
              <w:snapToGrid w:val="0"/>
              <w:spacing w:after="100" w:line="240" w:lineRule="auto"/>
              <w:ind w:left="357" w:hanging="357"/>
              <w:contextualSpacing w:val="0"/>
              <w:rPr>
                <w:rFonts w:ascii="Times New Roman" w:hAnsi="Times New Roman"/>
                <w:sz w:val="18"/>
                <w:szCs w:val="18"/>
                <w:lang w:val="en-GB"/>
              </w:rPr>
            </w:pPr>
            <w:r w:rsidRPr="00D431C1">
              <w:rPr>
                <w:rFonts w:ascii="Times New Roman" w:hAnsi="Times New Roman"/>
                <w:sz w:val="18"/>
                <w:szCs w:val="18"/>
                <w:lang w:val="en-GB"/>
              </w:rPr>
              <w:t>Aircraft for which type approval has been applied for before December 2018 and has been received before December 2022 and spare parts for those aircraft</w:t>
            </w:r>
          </w:p>
          <w:p w:rsidR="00DA00EA" w:rsidRPr="00D431C1" w:rsidRDefault="00DA00EA" w:rsidP="00DA00EA">
            <w:pPr>
              <w:pStyle w:val="ListParagraph"/>
              <w:numPr>
                <w:ilvl w:val="0"/>
                <w:numId w:val="4"/>
              </w:numPr>
              <w:suppressAutoHyphens/>
              <w:snapToGrid w:val="0"/>
              <w:spacing w:after="100" w:line="240" w:lineRule="auto"/>
              <w:ind w:left="357" w:hanging="357"/>
              <w:contextualSpacing w:val="0"/>
              <w:rPr>
                <w:rFonts w:ascii="Times New Roman" w:hAnsi="Times New Roman"/>
                <w:sz w:val="18"/>
                <w:szCs w:val="18"/>
                <w:lang w:val="en-GB"/>
              </w:rPr>
            </w:pPr>
            <w:r w:rsidRPr="00D431C1">
              <w:rPr>
                <w:rFonts w:ascii="Times New Roman" w:hAnsi="Times New Roman"/>
                <w:sz w:val="18"/>
                <w:szCs w:val="18"/>
                <w:lang w:val="en-GB"/>
              </w:rPr>
              <w:t xml:space="preserve">Textile products that require anti-flammable characteristics, excluding clothing and toys </w:t>
            </w:r>
          </w:p>
          <w:p w:rsidR="00DA00EA" w:rsidRPr="00D431C1" w:rsidRDefault="00DA00EA" w:rsidP="00DA00EA">
            <w:pPr>
              <w:pStyle w:val="ListParagraph"/>
              <w:numPr>
                <w:ilvl w:val="0"/>
                <w:numId w:val="4"/>
              </w:numPr>
              <w:suppressAutoHyphens/>
              <w:snapToGrid w:val="0"/>
              <w:spacing w:after="100" w:line="240" w:lineRule="auto"/>
              <w:ind w:left="357" w:hanging="357"/>
              <w:contextualSpacing w:val="0"/>
              <w:rPr>
                <w:rFonts w:ascii="Times New Roman" w:hAnsi="Times New Roman"/>
                <w:sz w:val="18"/>
                <w:szCs w:val="18"/>
                <w:lang w:val="en-GB"/>
              </w:rPr>
            </w:pPr>
            <w:r w:rsidRPr="00D431C1">
              <w:rPr>
                <w:rFonts w:ascii="Times New Roman" w:hAnsi="Times New Roman"/>
                <w:sz w:val="18"/>
                <w:szCs w:val="18"/>
                <w:lang w:val="en-GB"/>
              </w:rPr>
              <w:t xml:space="preserve">Additives in plastic housings and parts used for heating home appliances, irons, fans, immersion heaters that contain or are in direct contact with electrical parts or are required to comply with fire </w:t>
            </w:r>
            <w:proofErr w:type="spellStart"/>
            <w:r w:rsidRPr="00D431C1">
              <w:rPr>
                <w:rFonts w:ascii="Times New Roman" w:hAnsi="Times New Roman"/>
                <w:sz w:val="18"/>
                <w:szCs w:val="18"/>
                <w:lang w:val="en-GB"/>
              </w:rPr>
              <w:t>retardancy</w:t>
            </w:r>
            <w:proofErr w:type="spellEnd"/>
            <w:r w:rsidRPr="00D431C1">
              <w:rPr>
                <w:rFonts w:ascii="Times New Roman" w:hAnsi="Times New Roman"/>
                <w:sz w:val="18"/>
                <w:szCs w:val="18"/>
                <w:lang w:val="en-GB"/>
              </w:rPr>
              <w:t xml:space="preserve"> standards, at concentrations lower than 10 per cent by weight of the part</w:t>
            </w:r>
          </w:p>
          <w:p w:rsidR="00DA00EA" w:rsidRPr="00D431C1" w:rsidRDefault="00DA00EA" w:rsidP="00DA00EA">
            <w:pPr>
              <w:pStyle w:val="ListParagraph"/>
              <w:numPr>
                <w:ilvl w:val="0"/>
                <w:numId w:val="4"/>
              </w:numPr>
              <w:suppressAutoHyphens/>
              <w:snapToGrid w:val="0"/>
              <w:spacing w:after="100" w:line="240" w:lineRule="auto"/>
              <w:ind w:left="357" w:hanging="357"/>
              <w:contextualSpacing w:val="0"/>
              <w:rPr>
                <w:rFonts w:ascii="Times New Roman" w:hAnsi="Times New Roman"/>
                <w:sz w:val="18"/>
                <w:szCs w:val="18"/>
                <w:lang w:val="en-GB"/>
              </w:rPr>
            </w:pPr>
            <w:r w:rsidRPr="00D431C1">
              <w:rPr>
                <w:rFonts w:ascii="Times New Roman" w:hAnsi="Times New Roman"/>
                <w:sz w:val="18"/>
                <w:szCs w:val="18"/>
                <w:lang w:val="en-GB"/>
              </w:rPr>
              <w:t>Polyurethane foam for building insulation</w:t>
            </w:r>
          </w:p>
        </w:tc>
      </w:tr>
    </w:tbl>
    <w:p w:rsidR="00DA00EA" w:rsidRPr="00D431C1" w:rsidRDefault="00DA00EA" w:rsidP="00DA00EA">
      <w:pPr>
        <w:pStyle w:val="Normal-pool"/>
        <w:keepNext/>
        <w:keepLines/>
        <w:numPr>
          <w:ilvl w:val="0"/>
          <w:numId w:val="1"/>
        </w:numPr>
        <w:tabs>
          <w:tab w:val="clear" w:pos="1247"/>
          <w:tab w:val="clear" w:pos="1814"/>
          <w:tab w:val="clear" w:pos="2381"/>
          <w:tab w:val="clear" w:pos="2948"/>
          <w:tab w:val="clear" w:pos="3515"/>
          <w:tab w:val="clear" w:pos="4082"/>
          <w:tab w:val="left" w:pos="2410"/>
        </w:tabs>
        <w:spacing w:before="120" w:after="120"/>
        <w:ind w:left="1247" w:firstLine="624"/>
      </w:pPr>
      <w:r w:rsidRPr="00D431C1">
        <w:rPr>
          <w:i/>
        </w:rPr>
        <w:t>Also decides</w:t>
      </w:r>
      <w:r w:rsidRPr="00D431C1">
        <w:t xml:space="preserve"> to insert a new part IX in Annex A, as follows:</w:t>
      </w:r>
    </w:p>
    <w:p w:rsidR="00DA00EA" w:rsidRPr="00D431C1" w:rsidRDefault="00DA00EA" w:rsidP="00DA00EA">
      <w:pPr>
        <w:pStyle w:val="CH3"/>
        <w:spacing w:before="240"/>
        <w:ind w:left="0" w:right="0" w:firstLine="0"/>
        <w:jc w:val="center"/>
      </w:pPr>
      <w:r w:rsidRPr="00D431C1">
        <w:t>Part IX</w:t>
      </w:r>
    </w:p>
    <w:p w:rsidR="00DA00EA" w:rsidRPr="00D431C1" w:rsidRDefault="00DA00EA" w:rsidP="00DA00EA">
      <w:pPr>
        <w:pStyle w:val="CH3"/>
        <w:ind w:left="0" w:right="0" w:firstLine="0"/>
        <w:jc w:val="center"/>
      </w:pPr>
      <w:proofErr w:type="spellStart"/>
      <w:r w:rsidRPr="00D431C1">
        <w:t>Decabromodiphenyl</w:t>
      </w:r>
      <w:proofErr w:type="spellEnd"/>
      <w:r w:rsidRPr="00D431C1">
        <w:t xml:space="preserve"> ether</w:t>
      </w:r>
    </w:p>
    <w:p w:rsidR="00DA00EA" w:rsidRPr="00D431C1" w:rsidRDefault="00DA00EA" w:rsidP="00DA00EA">
      <w:pPr>
        <w:pStyle w:val="Normal-pool"/>
        <w:numPr>
          <w:ilvl w:val="0"/>
          <w:numId w:val="2"/>
        </w:numPr>
        <w:tabs>
          <w:tab w:val="clear" w:pos="1247"/>
          <w:tab w:val="clear" w:pos="1814"/>
          <w:tab w:val="clear" w:pos="2381"/>
          <w:tab w:val="clear" w:pos="2948"/>
          <w:tab w:val="clear" w:pos="3515"/>
          <w:tab w:val="clear" w:pos="4082"/>
          <w:tab w:val="left" w:pos="2410"/>
        </w:tabs>
        <w:spacing w:after="120"/>
        <w:ind w:left="1247" w:firstLine="624"/>
      </w:pPr>
      <w:r w:rsidRPr="00D431C1">
        <w:t xml:space="preserve">The production and use of </w:t>
      </w:r>
      <w:proofErr w:type="spellStart"/>
      <w:r w:rsidRPr="00D431C1">
        <w:t>decabromodiphenyl</w:t>
      </w:r>
      <w:proofErr w:type="spellEnd"/>
      <w:r w:rsidRPr="00D431C1">
        <w:t xml:space="preserve"> ether shall be eliminated except for Parties that have notified the Secretariat of their intention to produce and/or use it in accordance with Article 4. </w:t>
      </w:r>
    </w:p>
    <w:p w:rsidR="00DA00EA" w:rsidRPr="00D431C1" w:rsidRDefault="00DA00EA" w:rsidP="00DA00EA">
      <w:pPr>
        <w:pStyle w:val="Normal-pool"/>
        <w:numPr>
          <w:ilvl w:val="0"/>
          <w:numId w:val="2"/>
        </w:numPr>
        <w:tabs>
          <w:tab w:val="clear" w:pos="1247"/>
          <w:tab w:val="clear" w:pos="1814"/>
          <w:tab w:val="clear" w:pos="2381"/>
          <w:tab w:val="clear" w:pos="2948"/>
          <w:tab w:val="clear" w:pos="3515"/>
          <w:tab w:val="clear" w:pos="4082"/>
          <w:tab w:val="left" w:pos="2410"/>
        </w:tabs>
        <w:spacing w:after="120"/>
        <w:ind w:left="1247" w:firstLine="624"/>
      </w:pPr>
      <w:r w:rsidRPr="00D431C1">
        <w:t xml:space="preserve">Specific exemptions for parts for use in vehicles may be available for the production and use of commercial </w:t>
      </w:r>
      <w:proofErr w:type="spellStart"/>
      <w:r w:rsidRPr="00D431C1">
        <w:t>decabromodiphenyl</w:t>
      </w:r>
      <w:proofErr w:type="spellEnd"/>
      <w:r w:rsidRPr="00D431C1">
        <w:t xml:space="preserve"> ether limited to the following:</w:t>
      </w:r>
    </w:p>
    <w:p w:rsidR="00DA00EA" w:rsidRPr="00D431C1" w:rsidRDefault="00DA00EA" w:rsidP="00DA00EA">
      <w:pPr>
        <w:pStyle w:val="Normal-pool"/>
        <w:numPr>
          <w:ilvl w:val="0"/>
          <w:numId w:val="3"/>
        </w:numPr>
        <w:tabs>
          <w:tab w:val="clear" w:pos="1247"/>
          <w:tab w:val="clear" w:pos="1814"/>
          <w:tab w:val="clear" w:pos="2381"/>
          <w:tab w:val="clear" w:pos="2948"/>
          <w:tab w:val="clear" w:pos="3515"/>
          <w:tab w:val="clear" w:pos="4082"/>
          <w:tab w:val="left" w:pos="624"/>
          <w:tab w:val="left" w:pos="2340"/>
        </w:tabs>
        <w:spacing w:after="120"/>
        <w:ind w:left="1800" w:firstLine="540"/>
      </w:pPr>
      <w:r w:rsidRPr="00D431C1">
        <w:t>Parts for use in legacy vehicles, defined as vehicles that have ceased mass production, and with such parts falling into one or more of the following categories:</w:t>
      </w:r>
    </w:p>
    <w:p w:rsidR="00DA00EA" w:rsidRPr="00D431C1" w:rsidRDefault="00DA00EA" w:rsidP="00DA00EA">
      <w:pPr>
        <w:pStyle w:val="Normal-pool"/>
        <w:tabs>
          <w:tab w:val="clear" w:pos="1247"/>
          <w:tab w:val="clear" w:pos="1814"/>
          <w:tab w:val="clear" w:pos="2381"/>
          <w:tab w:val="clear" w:pos="2948"/>
          <w:tab w:val="clear" w:pos="3515"/>
          <w:tab w:val="left" w:pos="624"/>
        </w:tabs>
        <w:spacing w:after="120"/>
        <w:ind w:left="3420" w:hanging="540"/>
      </w:pPr>
      <w:r w:rsidRPr="00D431C1">
        <w:t>(</w:t>
      </w:r>
      <w:proofErr w:type="spellStart"/>
      <w:r w:rsidRPr="00D431C1">
        <w:t>i</w:t>
      </w:r>
      <w:proofErr w:type="spellEnd"/>
      <w:r w:rsidRPr="00D431C1">
        <w:t>)</w:t>
      </w:r>
      <w:r w:rsidRPr="00D431C1">
        <w:tab/>
      </w:r>
      <w:proofErr w:type="spellStart"/>
      <w:r w:rsidRPr="00D431C1">
        <w:t>Powertrain</w:t>
      </w:r>
      <w:proofErr w:type="spellEnd"/>
      <w:r w:rsidRPr="00D431C1">
        <w:t xml:space="preserve"> and under-hood applications such as battery mass wires, battery interconnection wires, mobile air-conditioning (MAC) pipes, </w:t>
      </w:r>
      <w:proofErr w:type="spellStart"/>
      <w:r w:rsidRPr="00D431C1">
        <w:t>powertrains</w:t>
      </w:r>
      <w:proofErr w:type="spellEnd"/>
      <w:r w:rsidRPr="00D431C1">
        <w:t xml:space="preserve">, exhaust manifold bushings, under-hood insulation, wiring </w:t>
      </w:r>
      <w:r w:rsidRPr="00D431C1">
        <w:lastRenderedPageBreak/>
        <w:t>and harness under hood (engine wiring, etc.), speed sensors, hoses, fan modules and knock sensors;</w:t>
      </w:r>
    </w:p>
    <w:p w:rsidR="00DA00EA" w:rsidRPr="00D431C1" w:rsidRDefault="00DA00EA" w:rsidP="00DA00EA">
      <w:pPr>
        <w:pStyle w:val="Normal-pool"/>
        <w:tabs>
          <w:tab w:val="clear" w:pos="1247"/>
          <w:tab w:val="clear" w:pos="1814"/>
          <w:tab w:val="clear" w:pos="2381"/>
          <w:tab w:val="clear" w:pos="2948"/>
          <w:tab w:val="clear" w:pos="3515"/>
          <w:tab w:val="left" w:pos="624"/>
        </w:tabs>
        <w:spacing w:after="120"/>
        <w:ind w:left="3420" w:hanging="540"/>
      </w:pPr>
      <w:r w:rsidRPr="00D431C1">
        <w:t>(ii)</w:t>
      </w:r>
      <w:r w:rsidRPr="00D431C1">
        <w:tab/>
        <w:t>Fuel system applications such as fuel hoses, fuel tanks and fuel tanks under body;</w:t>
      </w:r>
    </w:p>
    <w:p w:rsidR="00DA00EA" w:rsidRPr="00D431C1" w:rsidRDefault="00DA00EA" w:rsidP="00DA00EA">
      <w:pPr>
        <w:pStyle w:val="Normal-pool"/>
        <w:tabs>
          <w:tab w:val="clear" w:pos="1247"/>
          <w:tab w:val="clear" w:pos="1814"/>
          <w:tab w:val="clear" w:pos="2381"/>
          <w:tab w:val="clear" w:pos="2948"/>
          <w:tab w:val="clear" w:pos="3515"/>
          <w:tab w:val="left" w:pos="624"/>
        </w:tabs>
        <w:spacing w:after="120"/>
        <w:ind w:left="3420" w:hanging="540"/>
      </w:pPr>
      <w:r w:rsidRPr="00D431C1">
        <w:t>(iii)</w:t>
      </w:r>
      <w:r w:rsidRPr="00D431C1">
        <w:tab/>
        <w:t>Pyrotechnical devices and applications affected by pyrotechnical devices such as air bag ignition cables, seat covers/fabrics (only if airbag relevant) and airbags (front and side);</w:t>
      </w:r>
    </w:p>
    <w:p w:rsidR="00DA00EA" w:rsidRPr="00D431C1" w:rsidRDefault="00DA00EA" w:rsidP="00DA00EA">
      <w:pPr>
        <w:pStyle w:val="Normal-pool"/>
        <w:tabs>
          <w:tab w:val="clear" w:pos="1247"/>
          <w:tab w:val="clear" w:pos="1814"/>
          <w:tab w:val="clear" w:pos="2381"/>
          <w:tab w:val="clear" w:pos="2948"/>
          <w:tab w:val="clear" w:pos="3515"/>
          <w:tab w:val="left" w:pos="624"/>
        </w:tabs>
        <w:spacing w:after="120"/>
        <w:ind w:left="3420" w:hanging="540"/>
      </w:pPr>
      <w:proofErr w:type="gramStart"/>
      <w:r w:rsidRPr="00D431C1">
        <w:t>(iv)</w:t>
      </w:r>
      <w:r w:rsidRPr="00D431C1">
        <w:tab/>
        <w:t>Suspension</w:t>
      </w:r>
      <w:proofErr w:type="gramEnd"/>
      <w:r w:rsidRPr="00D431C1">
        <w:t xml:space="preserve"> and interior applications such as trim components, acoustic material and seat belts</w:t>
      </w:r>
      <w:r>
        <w:t>.</w:t>
      </w:r>
    </w:p>
    <w:p w:rsidR="00DA00EA" w:rsidRPr="00D431C1" w:rsidRDefault="00DA00EA" w:rsidP="00DA00EA">
      <w:pPr>
        <w:pStyle w:val="Normal-pool"/>
        <w:numPr>
          <w:ilvl w:val="0"/>
          <w:numId w:val="3"/>
        </w:numPr>
        <w:tabs>
          <w:tab w:val="clear" w:pos="1247"/>
          <w:tab w:val="clear" w:pos="1814"/>
          <w:tab w:val="clear" w:pos="2381"/>
          <w:tab w:val="clear" w:pos="2948"/>
          <w:tab w:val="clear" w:pos="3515"/>
          <w:tab w:val="clear" w:pos="4082"/>
          <w:tab w:val="left" w:pos="624"/>
        </w:tabs>
        <w:spacing w:after="120"/>
        <w:ind w:left="1800" w:firstLine="540"/>
      </w:pPr>
      <w:r w:rsidRPr="00D431C1">
        <w:t>Parts in vehicles specified in paragraphs 2 (a) (</w:t>
      </w:r>
      <w:proofErr w:type="spellStart"/>
      <w:r w:rsidRPr="00D431C1">
        <w:t>i</w:t>
      </w:r>
      <w:proofErr w:type="spellEnd"/>
      <w:r w:rsidRPr="00D431C1">
        <w:t>)–(iv) above and those falling into one or more of the following categories:</w:t>
      </w:r>
    </w:p>
    <w:p w:rsidR="00DA00EA" w:rsidRPr="00D431C1" w:rsidRDefault="00DA00EA" w:rsidP="00DA00EA">
      <w:pPr>
        <w:pStyle w:val="Normal-pool"/>
        <w:numPr>
          <w:ilvl w:val="0"/>
          <w:numId w:val="5"/>
        </w:numPr>
        <w:tabs>
          <w:tab w:val="clear" w:pos="1247"/>
          <w:tab w:val="clear" w:pos="1814"/>
          <w:tab w:val="clear" w:pos="2381"/>
          <w:tab w:val="clear" w:pos="2948"/>
          <w:tab w:val="clear" w:pos="3515"/>
          <w:tab w:val="clear" w:pos="4082"/>
          <w:tab w:val="left" w:pos="624"/>
        </w:tabs>
        <w:spacing w:after="120"/>
        <w:ind w:left="3510" w:hanging="270"/>
      </w:pPr>
      <w:r w:rsidRPr="00D431C1">
        <w:t>Reinforced plastics (instrument panels and interior trim);</w:t>
      </w:r>
    </w:p>
    <w:p w:rsidR="00DA00EA" w:rsidRPr="00D431C1" w:rsidRDefault="00DA00EA" w:rsidP="00DA00EA">
      <w:pPr>
        <w:pStyle w:val="Normal-pool"/>
        <w:numPr>
          <w:ilvl w:val="0"/>
          <w:numId w:val="5"/>
        </w:numPr>
        <w:tabs>
          <w:tab w:val="clear" w:pos="1247"/>
          <w:tab w:val="clear" w:pos="1814"/>
          <w:tab w:val="clear" w:pos="2381"/>
          <w:tab w:val="clear" w:pos="2948"/>
          <w:tab w:val="clear" w:pos="3515"/>
          <w:tab w:val="clear" w:pos="4082"/>
          <w:tab w:val="left" w:pos="624"/>
        </w:tabs>
        <w:spacing w:after="120"/>
        <w:ind w:left="3510" w:hanging="270"/>
      </w:pPr>
      <w:r w:rsidRPr="00D431C1">
        <w:t>Under the hood or dash (terminal/fuse blocks, higher-amperage wires and cable jacketing (spark plug wires));</w:t>
      </w:r>
    </w:p>
    <w:p w:rsidR="00DA00EA" w:rsidRPr="00D431C1" w:rsidRDefault="00DA00EA" w:rsidP="00DA00EA">
      <w:pPr>
        <w:pStyle w:val="Normal-pool"/>
        <w:numPr>
          <w:ilvl w:val="0"/>
          <w:numId w:val="5"/>
        </w:numPr>
        <w:tabs>
          <w:tab w:val="clear" w:pos="1247"/>
          <w:tab w:val="clear" w:pos="1814"/>
          <w:tab w:val="clear" w:pos="2381"/>
          <w:tab w:val="clear" w:pos="2948"/>
          <w:tab w:val="clear" w:pos="3515"/>
          <w:tab w:val="clear" w:pos="4082"/>
          <w:tab w:val="left" w:pos="624"/>
        </w:tabs>
        <w:spacing w:after="120"/>
        <w:ind w:left="3510" w:hanging="270"/>
      </w:pPr>
      <w:r w:rsidRPr="00D431C1">
        <w:t>Electric and electronic equipment (battery cases and battery trays, engine control electrical connectors, components of radio disks, navigation satellite systems, global positioning systems and computer systems);</w:t>
      </w:r>
    </w:p>
    <w:p w:rsidR="00DA00EA" w:rsidRPr="00D431C1" w:rsidRDefault="00DA00EA" w:rsidP="00DA00EA">
      <w:pPr>
        <w:pStyle w:val="Normal-pool"/>
        <w:numPr>
          <w:ilvl w:val="0"/>
          <w:numId w:val="5"/>
        </w:numPr>
        <w:tabs>
          <w:tab w:val="clear" w:pos="1247"/>
          <w:tab w:val="clear" w:pos="1814"/>
          <w:tab w:val="clear" w:pos="2381"/>
          <w:tab w:val="clear" w:pos="2948"/>
          <w:tab w:val="clear" w:pos="3515"/>
          <w:tab w:val="clear" w:pos="4082"/>
          <w:tab w:val="left" w:pos="624"/>
        </w:tabs>
        <w:spacing w:after="120"/>
        <w:ind w:left="3510" w:hanging="270"/>
      </w:pPr>
      <w:r w:rsidRPr="00D431C1">
        <w:t xml:space="preserve">Fabric such as rear decks, upholstery, headliners, automobile seats, </w:t>
      </w:r>
      <w:proofErr w:type="gramStart"/>
      <w:r w:rsidRPr="00D431C1">
        <w:t>head</w:t>
      </w:r>
      <w:proofErr w:type="gramEnd"/>
      <w:r w:rsidRPr="00D431C1">
        <w:t xml:space="preserve"> rests, sun visors, trim panels, carpets.</w:t>
      </w:r>
    </w:p>
    <w:p w:rsidR="00DA00EA" w:rsidRPr="00D431C1" w:rsidRDefault="00DA00EA" w:rsidP="00DA00EA">
      <w:pPr>
        <w:pStyle w:val="Normal-pool"/>
        <w:numPr>
          <w:ilvl w:val="0"/>
          <w:numId w:val="2"/>
        </w:numPr>
        <w:tabs>
          <w:tab w:val="clear" w:pos="1247"/>
          <w:tab w:val="clear" w:pos="1814"/>
          <w:tab w:val="clear" w:pos="2381"/>
          <w:tab w:val="clear" w:pos="2948"/>
          <w:tab w:val="clear" w:pos="3515"/>
          <w:tab w:val="clear" w:pos="4082"/>
          <w:tab w:val="left" w:pos="2410"/>
        </w:tabs>
        <w:spacing w:after="120"/>
        <w:ind w:left="1247" w:firstLine="624"/>
      </w:pPr>
      <w:r w:rsidRPr="00D431C1">
        <w:t>The specific exemptions for parts specified in paragraph 2 (a) above shall expire at the end of the service life of legacy vehicles or in 2036, whichever comes earlier.</w:t>
      </w:r>
    </w:p>
    <w:p w:rsidR="00DA00EA" w:rsidRPr="00D431C1" w:rsidRDefault="00DA00EA" w:rsidP="00DA00EA">
      <w:pPr>
        <w:pStyle w:val="Normal-pool"/>
        <w:numPr>
          <w:ilvl w:val="0"/>
          <w:numId w:val="2"/>
        </w:numPr>
        <w:tabs>
          <w:tab w:val="clear" w:pos="1247"/>
          <w:tab w:val="clear" w:pos="1814"/>
          <w:tab w:val="clear" w:pos="2381"/>
          <w:tab w:val="clear" w:pos="2948"/>
          <w:tab w:val="clear" w:pos="3515"/>
          <w:tab w:val="clear" w:pos="4082"/>
          <w:tab w:val="left" w:pos="2410"/>
        </w:tabs>
        <w:spacing w:after="120"/>
        <w:ind w:left="1247" w:firstLine="624"/>
      </w:pPr>
      <w:r w:rsidRPr="00D431C1">
        <w:t>The specific exemptions for parts specified in paragraph 2 (b) above shall expire at the end of the service life of vehicles or in 2036, whichever comes earlier.</w:t>
      </w:r>
    </w:p>
    <w:p w:rsidR="00DA00EA" w:rsidRPr="00D431C1" w:rsidRDefault="00DA00EA" w:rsidP="00DA00EA">
      <w:pPr>
        <w:pStyle w:val="Normal-pool"/>
        <w:numPr>
          <w:ilvl w:val="0"/>
          <w:numId w:val="2"/>
        </w:numPr>
        <w:tabs>
          <w:tab w:val="clear" w:pos="1247"/>
          <w:tab w:val="clear" w:pos="1814"/>
          <w:tab w:val="clear" w:pos="2381"/>
          <w:tab w:val="clear" w:pos="2948"/>
          <w:tab w:val="clear" w:pos="3515"/>
          <w:tab w:val="clear" w:pos="4082"/>
          <w:tab w:val="left" w:pos="2410"/>
        </w:tabs>
        <w:spacing w:after="120"/>
        <w:ind w:left="1247" w:firstLine="624"/>
      </w:pPr>
      <w:r w:rsidRPr="00D431C1">
        <w:t>The specific exemptions for spare parts for aircraft for which type approval has been applied for before December 2018 and has been received before December 2022 shall expire at the end of the service life of those aircraft.</w:t>
      </w:r>
    </w:p>
    <w:p w:rsidR="00EE16C0" w:rsidRDefault="00EE16C0"/>
    <w:sectPr w:rsidR="00EE16C0" w:rsidSect="00EE16C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032C" w:rsidRDefault="0021032C" w:rsidP="00DA00EA">
      <w:r>
        <w:separator/>
      </w:r>
    </w:p>
  </w:endnote>
  <w:endnote w:type="continuationSeparator" w:id="0">
    <w:p w:rsidR="0021032C" w:rsidRDefault="0021032C" w:rsidP="00DA00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032C" w:rsidRDefault="0021032C" w:rsidP="00DA00EA">
      <w:r>
        <w:separator/>
      </w:r>
    </w:p>
  </w:footnote>
  <w:footnote w:type="continuationSeparator" w:id="0">
    <w:p w:rsidR="0021032C" w:rsidRDefault="0021032C" w:rsidP="00DA00EA">
      <w:r>
        <w:continuationSeparator/>
      </w:r>
    </w:p>
  </w:footnote>
  <w:footnote w:id="1">
    <w:p w:rsidR="00DA00EA" w:rsidRPr="00092F5F" w:rsidRDefault="00DA00EA" w:rsidP="00DA00EA">
      <w:pPr>
        <w:pStyle w:val="Normalpool"/>
        <w:tabs>
          <w:tab w:val="left" w:pos="624"/>
        </w:tabs>
        <w:spacing w:before="20" w:after="20"/>
        <w:ind w:left="1247" w:right="57"/>
        <w:rPr>
          <w:sz w:val="18"/>
          <w:szCs w:val="18"/>
        </w:rPr>
      </w:pPr>
      <w:r w:rsidRPr="00092F5F">
        <w:rPr>
          <w:rStyle w:val="FootnoteReference"/>
          <w:szCs w:val="18"/>
        </w:rPr>
        <w:footnoteRef/>
      </w:r>
      <w:r w:rsidRPr="00092F5F">
        <w:rPr>
          <w:sz w:val="18"/>
          <w:szCs w:val="18"/>
        </w:rPr>
        <w:t xml:space="preserve"> UNEP/POPS/POPRC.10/10/</w:t>
      </w:r>
      <w:proofErr w:type="spellStart"/>
      <w:r w:rsidRPr="00092F5F">
        <w:rPr>
          <w:sz w:val="18"/>
          <w:szCs w:val="18"/>
        </w:rPr>
        <w:t>Add</w:t>
      </w:r>
      <w:proofErr w:type="spellEnd"/>
      <w:r w:rsidRPr="00092F5F">
        <w:rPr>
          <w:sz w:val="18"/>
          <w:szCs w:val="18"/>
        </w:rPr>
        <w:t>.2; UNEP/POPS/POPRC.11/10/</w:t>
      </w:r>
      <w:proofErr w:type="spellStart"/>
      <w:r w:rsidRPr="00092F5F">
        <w:rPr>
          <w:sz w:val="18"/>
          <w:szCs w:val="18"/>
        </w:rPr>
        <w:t>Add</w:t>
      </w:r>
      <w:proofErr w:type="spellEnd"/>
      <w:r w:rsidRPr="00092F5F">
        <w:rPr>
          <w:sz w:val="18"/>
          <w:szCs w:val="18"/>
        </w:rPr>
        <w:t>.1; UNEP/POPS/POPRC.12/11/</w:t>
      </w:r>
      <w:proofErr w:type="spellStart"/>
      <w:r w:rsidRPr="00092F5F">
        <w:rPr>
          <w:sz w:val="18"/>
          <w:szCs w:val="18"/>
        </w:rPr>
        <w:t>Add</w:t>
      </w:r>
      <w:proofErr w:type="spellEnd"/>
      <w:r w:rsidRPr="00092F5F">
        <w:rPr>
          <w:sz w:val="18"/>
          <w:szCs w:val="18"/>
        </w:rPr>
        <w:t>.4.</w:t>
      </w:r>
    </w:p>
  </w:footnote>
  <w:footnote w:id="2">
    <w:p w:rsidR="00DA00EA" w:rsidRPr="00092F5F" w:rsidRDefault="00DA00EA" w:rsidP="00DA00EA">
      <w:pPr>
        <w:pStyle w:val="Normalpool"/>
        <w:tabs>
          <w:tab w:val="left" w:pos="624"/>
        </w:tabs>
        <w:spacing w:before="20" w:after="20"/>
        <w:ind w:left="1247" w:right="57"/>
        <w:rPr>
          <w:sz w:val="18"/>
          <w:szCs w:val="18"/>
        </w:rPr>
      </w:pPr>
      <w:r w:rsidRPr="00092F5F">
        <w:rPr>
          <w:rStyle w:val="FootnoteReference"/>
          <w:szCs w:val="18"/>
        </w:rPr>
        <w:footnoteRef/>
      </w:r>
      <w:r w:rsidRPr="00092F5F">
        <w:rPr>
          <w:sz w:val="18"/>
          <w:szCs w:val="18"/>
        </w:rPr>
        <w:t xml:space="preserve"> UNEP/POPS/COP.8/13.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815FC"/>
    <w:multiLevelType w:val="hybridMultilevel"/>
    <w:tmpl w:val="19BEF028"/>
    <w:lvl w:ilvl="0" w:tplc="96B892C6">
      <w:start w:val="1"/>
      <w:numFmt w:val="lowerLetter"/>
      <w:lvlText w:val="(%1)"/>
      <w:lvlJc w:val="left"/>
      <w:pPr>
        <w:ind w:left="2700" w:hanging="360"/>
      </w:pPr>
      <w:rPr>
        <w:rFonts w:hint="default"/>
        <w:color w:val="000000"/>
      </w:r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
    <w:nsid w:val="10343B16"/>
    <w:multiLevelType w:val="hybridMultilevel"/>
    <w:tmpl w:val="0AFE0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D630640"/>
    <w:multiLevelType w:val="hybridMultilevel"/>
    <w:tmpl w:val="105A9B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3162BF5"/>
    <w:multiLevelType w:val="hybridMultilevel"/>
    <w:tmpl w:val="9CD8A454"/>
    <w:lvl w:ilvl="0" w:tplc="AC723BFC">
      <w:start w:val="1"/>
      <w:numFmt w:val="decimal"/>
      <w:lvlText w:val="%1."/>
      <w:lvlJc w:val="left"/>
      <w:pPr>
        <w:ind w:left="2231" w:hanging="360"/>
      </w:pPr>
      <w:rPr>
        <w:rFonts w:hint="default"/>
      </w:rPr>
    </w:lvl>
    <w:lvl w:ilvl="1" w:tplc="04090019">
      <w:start w:val="1"/>
      <w:numFmt w:val="lowerLetter"/>
      <w:lvlText w:val="%2."/>
      <w:lvlJc w:val="left"/>
      <w:pPr>
        <w:ind w:left="2951" w:hanging="360"/>
      </w:pPr>
    </w:lvl>
    <w:lvl w:ilvl="2" w:tplc="0409001B" w:tentative="1">
      <w:start w:val="1"/>
      <w:numFmt w:val="lowerRoman"/>
      <w:lvlText w:val="%3."/>
      <w:lvlJc w:val="right"/>
      <w:pPr>
        <w:ind w:left="3671" w:hanging="180"/>
      </w:pPr>
    </w:lvl>
    <w:lvl w:ilvl="3" w:tplc="0409000F" w:tentative="1">
      <w:start w:val="1"/>
      <w:numFmt w:val="decimal"/>
      <w:lvlText w:val="%4."/>
      <w:lvlJc w:val="left"/>
      <w:pPr>
        <w:ind w:left="4391" w:hanging="360"/>
      </w:pPr>
    </w:lvl>
    <w:lvl w:ilvl="4" w:tplc="04090019" w:tentative="1">
      <w:start w:val="1"/>
      <w:numFmt w:val="lowerLetter"/>
      <w:lvlText w:val="%5."/>
      <w:lvlJc w:val="left"/>
      <w:pPr>
        <w:ind w:left="5111" w:hanging="360"/>
      </w:pPr>
    </w:lvl>
    <w:lvl w:ilvl="5" w:tplc="0409001B" w:tentative="1">
      <w:start w:val="1"/>
      <w:numFmt w:val="lowerRoman"/>
      <w:lvlText w:val="%6."/>
      <w:lvlJc w:val="right"/>
      <w:pPr>
        <w:ind w:left="5831" w:hanging="180"/>
      </w:pPr>
    </w:lvl>
    <w:lvl w:ilvl="6" w:tplc="0409000F" w:tentative="1">
      <w:start w:val="1"/>
      <w:numFmt w:val="decimal"/>
      <w:lvlText w:val="%7."/>
      <w:lvlJc w:val="left"/>
      <w:pPr>
        <w:ind w:left="6551" w:hanging="360"/>
      </w:pPr>
    </w:lvl>
    <w:lvl w:ilvl="7" w:tplc="04090019" w:tentative="1">
      <w:start w:val="1"/>
      <w:numFmt w:val="lowerLetter"/>
      <w:lvlText w:val="%8."/>
      <w:lvlJc w:val="left"/>
      <w:pPr>
        <w:ind w:left="7271" w:hanging="360"/>
      </w:pPr>
    </w:lvl>
    <w:lvl w:ilvl="8" w:tplc="0409001B" w:tentative="1">
      <w:start w:val="1"/>
      <w:numFmt w:val="lowerRoman"/>
      <w:lvlText w:val="%9."/>
      <w:lvlJc w:val="right"/>
      <w:pPr>
        <w:ind w:left="7991" w:hanging="180"/>
      </w:pPr>
    </w:lvl>
  </w:abstractNum>
  <w:abstractNum w:abstractNumId="4">
    <w:nsid w:val="6F376C08"/>
    <w:multiLevelType w:val="hybridMultilevel"/>
    <w:tmpl w:val="64FEC704"/>
    <w:lvl w:ilvl="0" w:tplc="BD0AC85E">
      <w:start w:val="1"/>
      <w:numFmt w:val="lowerRoman"/>
      <w:lvlText w:val="(%1)"/>
      <w:lvlJc w:val="righ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DA00EA"/>
    <w:rsid w:val="0021032C"/>
    <w:rsid w:val="009752C3"/>
    <w:rsid w:val="00DA00EA"/>
    <w:rsid w:val="00EE16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0EA"/>
    <w:pPr>
      <w:spacing w:after="0" w:line="240" w:lineRule="auto"/>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3">
    <w:name w:val="CH3"/>
    <w:basedOn w:val="Normalpool"/>
    <w:next w:val="Normalnumber"/>
    <w:link w:val="CH3Char"/>
    <w:rsid w:val="00DA00EA"/>
    <w:pPr>
      <w:keepNext/>
      <w:keepLines/>
      <w:tabs>
        <w:tab w:val="right" w:pos="851"/>
      </w:tabs>
      <w:suppressAutoHyphens/>
      <w:spacing w:after="120"/>
      <w:ind w:left="1247" w:right="284" w:hanging="1247"/>
    </w:pPr>
    <w:rPr>
      <w:b/>
      <w:lang w:val="en-GB"/>
    </w:rPr>
  </w:style>
  <w:style w:type="paragraph" w:customStyle="1" w:styleId="Normalpool">
    <w:name w:val="Normal_pool"/>
    <w:link w:val="NormalpoolChar"/>
    <w:rsid w:val="00DA00EA"/>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lang w:val="fr-FR"/>
    </w:rPr>
  </w:style>
  <w:style w:type="paragraph" w:customStyle="1" w:styleId="Normal-pool">
    <w:name w:val="Normal-pool"/>
    <w:link w:val="Normal-poolChar"/>
    <w:rsid w:val="00DA00EA"/>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lang w:val="en-GB"/>
    </w:r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
    <w:uiPriority w:val="99"/>
    <w:rsid w:val="00DA00EA"/>
    <w:rPr>
      <w:rFonts w:ascii="Times New Roman" w:hAnsi="Times New Roman" w:cs="Times New Roman"/>
      <w:color w:val="auto"/>
      <w:sz w:val="18"/>
      <w:vertAlign w:val="superscript"/>
    </w:rPr>
  </w:style>
  <w:style w:type="character" w:customStyle="1" w:styleId="NormalnumberChar">
    <w:name w:val="Normal_number Char"/>
    <w:link w:val="Normalnumber"/>
    <w:locked/>
    <w:rsid w:val="00DA00EA"/>
    <w:rPr>
      <w:lang w:val="fr-FR"/>
    </w:rPr>
  </w:style>
  <w:style w:type="paragraph" w:customStyle="1" w:styleId="Normalnumber">
    <w:name w:val="Normal_number"/>
    <w:basedOn w:val="Normalpool"/>
    <w:link w:val="NormalnumberChar"/>
    <w:rsid w:val="00DA00EA"/>
    <w:pPr>
      <w:spacing w:after="120"/>
    </w:pPr>
    <w:rPr>
      <w:rFonts w:asciiTheme="minorHAnsi" w:eastAsiaTheme="minorHAnsi" w:hAnsiTheme="minorHAnsi" w:cstheme="minorBidi"/>
      <w:sz w:val="22"/>
      <w:szCs w:val="22"/>
      <w:lang/>
    </w:rPr>
  </w:style>
  <w:style w:type="character" w:customStyle="1" w:styleId="Normal-poolChar">
    <w:name w:val="Normal-pool Char"/>
    <w:link w:val="Normal-pool"/>
    <w:locked/>
    <w:rsid w:val="00DA00EA"/>
    <w:rPr>
      <w:rFonts w:ascii="Times New Roman" w:eastAsia="Times New Roman" w:hAnsi="Times New Roman" w:cs="Times New Roman"/>
      <w:sz w:val="20"/>
      <w:szCs w:val="20"/>
      <w:lang w:val="en-GB"/>
    </w:rPr>
  </w:style>
  <w:style w:type="character" w:customStyle="1" w:styleId="NormalpoolChar">
    <w:name w:val="Normal_pool Char"/>
    <w:link w:val="Normalpool"/>
    <w:rsid w:val="00DA00EA"/>
    <w:rPr>
      <w:rFonts w:ascii="Times New Roman" w:eastAsia="Times New Roman" w:hAnsi="Times New Roman" w:cs="Times New Roman"/>
      <w:sz w:val="20"/>
      <w:szCs w:val="20"/>
      <w:lang w:val="fr-FR"/>
    </w:rPr>
  </w:style>
  <w:style w:type="paragraph" w:styleId="ListParagraph">
    <w:name w:val="List Paragraph"/>
    <w:basedOn w:val="Normal"/>
    <w:uiPriority w:val="34"/>
    <w:qFormat/>
    <w:rsid w:val="00DA00EA"/>
    <w:pPr>
      <w:spacing w:after="200" w:line="276" w:lineRule="auto"/>
      <w:ind w:left="720"/>
      <w:contextualSpacing/>
    </w:pPr>
    <w:rPr>
      <w:rFonts w:ascii="Calibri" w:hAnsi="Calibri"/>
      <w:sz w:val="22"/>
      <w:szCs w:val="22"/>
      <w:lang w:val="en-US"/>
    </w:rPr>
  </w:style>
  <w:style w:type="character" w:customStyle="1" w:styleId="CH3Char">
    <w:name w:val="CH3 Char"/>
    <w:link w:val="CH3"/>
    <w:rsid w:val="00DA00EA"/>
    <w:rPr>
      <w:rFonts w:ascii="Times New Roman" w:eastAsia="Times New Roman" w:hAnsi="Times New Roman" w:cs="Times New Roman"/>
      <w:b/>
      <w:sz w:val="20"/>
      <w:szCs w:val="20"/>
      <w:lang w:val="en-GB"/>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630</Words>
  <Characters>3594</Characters>
  <Application>Microsoft Office Word</Application>
  <DocSecurity>0</DocSecurity>
  <Lines>29</Lines>
  <Paragraphs>8</Paragraphs>
  <ScaleCrop>false</ScaleCrop>
  <Company>BRS</Company>
  <LinksUpToDate>false</LinksUpToDate>
  <CharactersWithSpaces>4216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achakwera</dc:creator>
  <cp:lastModifiedBy>achakwera</cp:lastModifiedBy>
  <cp:revision>2</cp:revision>
  <dcterms:created xsi:type="dcterms:W3CDTF">2018-02-02T13:58:00Z</dcterms:created>
  <dcterms:modified xsi:type="dcterms:W3CDTF">2018-02-02T13:58:00Z</dcterms:modified>
</cp:coreProperties>
</file>